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(Con horas extra)</w:t>
      </w:r>
    </w:p>
    <w:p>
      <w:r>
        <w:rPr>
          <w:i/>
          <w:sz w:val="20"/>
        </w:rPr>
        <w:t>Incluye línea y sección enfocada a Horas extraordinarias.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FFF2CC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FFF2CC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FF2CC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FF2CC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extraordinarias</w:t>
            </w:r>
          </w:p>
        </w:tc>
        <w:tc>
          <w:tcPr>
            <w:tcW w:type="dxa" w:w="1440"/>
          </w:tcPr>
          <w:p>
            <w:r>
              <w:t>[CANT_HE]</w:t>
            </w:r>
          </w:p>
        </w:tc>
        <w:tc>
          <w:tcPr>
            <w:tcW w:type="dxa" w:w="1440"/>
          </w:tcPr>
          <w:p>
            <w:r>
              <w:t>[PRECIO_HE]</w:t>
            </w:r>
          </w:p>
        </w:tc>
        <w:tc>
          <w:tcPr>
            <w:tcW w:type="dxa" w:w="1440"/>
          </w:tcPr>
          <w:p>
            <w:r>
              <w:t>[TOTAL_HE]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FF2CC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FF2CC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FF2CC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